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F73B" w14:textId="77777777" w:rsidR="00D97241" w:rsidRPr="00D97241" w:rsidRDefault="00D97241" w:rsidP="00D97241">
      <w:pPr>
        <w:jc w:val="center"/>
        <w:outlineLvl w:val="0"/>
        <w:rPr>
          <w:rFonts w:ascii="Zeitung Micro Pro Extrabold" w:eastAsia="Times New Roman" w:hAnsi="Zeitung Micro Pro Extrabold" w:cs="Arial"/>
          <w:b/>
          <w:bCs/>
          <w:color w:val="7030A0"/>
          <w:kern w:val="36"/>
          <w:sz w:val="52"/>
          <w:szCs w:val="5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36"/>
          <w:sz w:val="52"/>
          <w:szCs w:val="52"/>
          <w:lang w:eastAsia="fr-FR"/>
          <w14:ligatures w14:val="none"/>
        </w:rPr>
        <w:t>Le piège du licenciement pour inaptitude</w:t>
      </w:r>
    </w:p>
    <w:p w14:paraId="2A1EF274" w14:textId="77777777" w:rsidR="00813651" w:rsidRPr="008C0CDF" w:rsidRDefault="00813651" w:rsidP="00D97241">
      <w:pPr>
        <w:jc w:val="both"/>
        <w:rPr>
          <w:rFonts w:ascii="Axiforma Book" w:hAnsi="Axiforma Book"/>
          <w:color w:val="000000" w:themeColor="text1"/>
        </w:rPr>
      </w:pPr>
    </w:p>
    <w:p w14:paraId="42B00D0B" w14:textId="36182633" w:rsidR="00D97241" w:rsidRPr="008C0CDF" w:rsidRDefault="00D97241" w:rsidP="00D97241">
      <w:pPr>
        <w:jc w:val="both"/>
        <w:rPr>
          <w:rFonts w:ascii="Axiforma Book" w:hAnsi="Axiforma Book"/>
          <w:color w:val="002060"/>
          <w:sz w:val="23"/>
          <w:szCs w:val="23"/>
        </w:rPr>
      </w:pPr>
      <w:r w:rsidRPr="008C0CDF">
        <w:rPr>
          <w:rFonts w:ascii="Axiforma Book" w:hAnsi="Axiforma Book"/>
          <w:color w:val="002060"/>
          <w:sz w:val="23"/>
          <w:szCs w:val="23"/>
        </w:rPr>
        <w:t>Que vous soyez salarié ou employeur, il existe des</w:t>
      </w:r>
      <w:r w:rsidRPr="008C0CDF">
        <w:rPr>
          <w:rStyle w:val="apple-converted-space"/>
          <w:rFonts w:ascii="Cambria" w:hAnsi="Cambria" w:cs="Cambria"/>
          <w:color w:val="002060"/>
          <w:sz w:val="23"/>
          <w:szCs w:val="23"/>
        </w:rPr>
        <w:t> </w:t>
      </w:r>
      <w:r w:rsidRPr="008C0CDF">
        <w:rPr>
          <w:rStyle w:val="lev"/>
          <w:rFonts w:ascii="Axiforma Book" w:hAnsi="Axiforma Book"/>
          <w:color w:val="002060"/>
          <w:sz w:val="23"/>
          <w:szCs w:val="23"/>
        </w:rPr>
        <w:t>pièges dans le cadre du licenciement pour inaptitude.</w:t>
      </w:r>
      <w:r w:rsidRPr="008C0CDF">
        <w:rPr>
          <w:rStyle w:val="apple-converted-space"/>
          <w:rFonts w:ascii="Cambria" w:hAnsi="Cambria" w:cs="Cambria"/>
          <w:color w:val="002060"/>
          <w:sz w:val="23"/>
          <w:szCs w:val="23"/>
        </w:rPr>
        <w:t> </w:t>
      </w:r>
      <w:r w:rsidRPr="008C0CDF">
        <w:rPr>
          <w:rFonts w:ascii="Axiforma Book" w:hAnsi="Axiforma Book"/>
          <w:color w:val="002060"/>
          <w:sz w:val="23"/>
          <w:szCs w:val="23"/>
        </w:rPr>
        <w:t>Ce mode de rupture du contrat de travail nécessite le respect d’une procédure prévue par le Code du travail, sans laquelle le licenciement n’est pas valable.</w:t>
      </w:r>
    </w:p>
    <w:p w14:paraId="6615D5FC" w14:textId="77777777" w:rsidR="00D97241" w:rsidRPr="008C0CDF" w:rsidRDefault="00D97241" w:rsidP="00D97241">
      <w:pPr>
        <w:jc w:val="both"/>
        <w:rPr>
          <w:rFonts w:ascii="Axiforma Book" w:hAnsi="Axiforma Book"/>
          <w:color w:val="002060"/>
          <w:sz w:val="16"/>
          <w:szCs w:val="16"/>
        </w:rPr>
      </w:pPr>
    </w:p>
    <w:p w14:paraId="339EA632" w14:textId="1B8F6B25" w:rsidR="00D97241" w:rsidRPr="008C0CDF" w:rsidRDefault="00D97241" w:rsidP="00D97241">
      <w:pPr>
        <w:jc w:val="both"/>
        <w:rPr>
          <w:rFonts w:ascii="Axiforma Book" w:hAnsi="Axiforma Book"/>
          <w:color w:val="002060"/>
          <w:sz w:val="23"/>
          <w:szCs w:val="23"/>
        </w:rPr>
      </w:pPr>
      <w:r w:rsidRPr="008C0CDF">
        <w:rPr>
          <w:rFonts w:ascii="Axiforma Book" w:hAnsi="Axiforma Book"/>
          <w:color w:val="002060"/>
          <w:sz w:val="23"/>
          <w:szCs w:val="23"/>
        </w:rPr>
        <w:t>En explorant les diverses facettes juridiques, humaines et éthiques du licenciement pour inaptitude, nous chercherons à comprendre comment ce mécanisme, conçu initialement pour protéger à la fois les intérêts de l’employeur et les droits du salarié, peut parfois se transformer en un labyrinthe de défis et d’injustices.</w:t>
      </w:r>
    </w:p>
    <w:p w14:paraId="0316F598" w14:textId="77777777" w:rsidR="00D97241" w:rsidRPr="008C0CDF" w:rsidRDefault="00D97241" w:rsidP="00D97241">
      <w:pPr>
        <w:jc w:val="both"/>
        <w:rPr>
          <w:rFonts w:ascii="Axiforma Book" w:hAnsi="Axiforma Book"/>
          <w:color w:val="000000" w:themeColor="text1"/>
          <w:sz w:val="16"/>
          <w:szCs w:val="16"/>
        </w:rPr>
      </w:pPr>
    </w:p>
    <w:p w14:paraId="3678F1B8" w14:textId="77777777" w:rsidR="00D97241" w:rsidRPr="008C0CDF" w:rsidRDefault="00D97241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L'inaptitude du salarié</w:t>
      </w:r>
    </w:p>
    <w:p w14:paraId="59C10353" w14:textId="77777777" w:rsidR="00D97241" w:rsidRPr="00D97241" w:rsidRDefault="00D97241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58DDE00E" w14:textId="77777777" w:rsidR="00D97241" w:rsidRPr="00D97241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Avant de s'informer sur le licenciement pour inaptitude, il convient de connaître avec précision les conséquences, droit et obligations entourant l'inaptitude du salarié.</w:t>
      </w:r>
    </w:p>
    <w:p w14:paraId="50447C1F" w14:textId="77777777" w:rsidR="00D97241" w:rsidRPr="008C0CDF" w:rsidRDefault="00D97241" w:rsidP="00D97241">
      <w:pPr>
        <w:jc w:val="both"/>
        <w:outlineLvl w:val="2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52E96C7A" w14:textId="64955756" w:rsidR="00D97241" w:rsidRPr="008C0CDF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Qu'est-ce que l'inaptitude professionnelle ?</w:t>
      </w:r>
    </w:p>
    <w:p w14:paraId="1FD0A24A" w14:textId="77777777" w:rsidR="00D97241" w:rsidRPr="00D97241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5FF353AB" w14:textId="6833D90F" w:rsidR="00D97241" w:rsidRPr="00D97241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En application de l'</w:t>
      </w:r>
      <w:r w:rsidRPr="00D97241">
        <w:rPr>
          <w:rFonts w:ascii="Cambria" w:eastAsia="Times New Roman" w:hAnsi="Cambria" w:cs="Cambria"/>
          <w:b/>
          <w:bCs/>
          <w:color w:val="002060"/>
          <w:kern w:val="0"/>
          <w:sz w:val="23"/>
          <w:szCs w:val="23"/>
          <w:lang w:eastAsia="fr-FR"/>
          <w14:ligatures w14:val="none"/>
        </w:rPr>
        <w:t> </w:t>
      </w:r>
      <w:hyperlink r:id="rId5" w:anchor=":~:text=Les%20salariés%20affectés%20à%20des,d'une%20surveillance%20médicale%20spécifique." w:history="1">
        <w:r w:rsidRPr="00D97241">
          <w:rPr>
            <w:rStyle w:val="Lienhypertexte"/>
            <w:rFonts w:ascii="Axiforma Book" w:eastAsia="Times New Roman" w:hAnsi="Axiforma Book" w:cs="Times New Roman"/>
            <w:b/>
            <w:bCs/>
            <w:color w:val="002060"/>
            <w:kern w:val="0"/>
            <w:sz w:val="23"/>
            <w:szCs w:val="23"/>
            <w:lang w:eastAsia="fr-FR"/>
            <w14:ligatures w14:val="none"/>
          </w:rPr>
          <w:t>article L.4624-4 du Code du travail</w:t>
        </w:r>
        <w:r w:rsidRPr="00D97241">
          <w:rPr>
            <w:rStyle w:val="Lienhypertexte"/>
            <w:rFonts w:ascii="Cambria" w:eastAsia="Times New Roman" w:hAnsi="Cambria" w:cs="Cambria"/>
            <w:b/>
            <w:bCs/>
            <w:color w:val="002060"/>
            <w:kern w:val="0"/>
            <w:sz w:val="23"/>
            <w:szCs w:val="23"/>
            <w:lang w:eastAsia="fr-FR"/>
            <w14:ligatures w14:val="none"/>
          </w:rPr>
          <w:t> 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, après avoir procédé ou fait procéder par un membre de l'équipe pluridisciplinaire à une étude de poste et après avoir échangé avec le salarié et l'employeur, le médecin du travail qui constate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i/>
          <w:iCs/>
          <w:color w:val="002060"/>
          <w:kern w:val="0"/>
          <w:sz w:val="23"/>
          <w:szCs w:val="23"/>
          <w:lang w:eastAsia="fr-FR"/>
          <w14:ligatures w14:val="none"/>
        </w:rPr>
        <w:t>qu'aucune mesure d'aménagement, d'adaptation ou de transformation du poste de travail occupé n'est possible et que l'état de santé du travailleur justifie un changement de poste déclare le travailleur inapte à son poste de travail.</w:t>
      </w:r>
      <w:r w:rsidRPr="00D97241">
        <w:rPr>
          <w:rFonts w:ascii="Cambria" w:eastAsia="Times New Roman" w:hAnsi="Cambria" w:cs="Cambria"/>
          <w:b/>
          <w:bCs/>
          <w:i/>
          <w:iCs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L'avis d'inaptitude rendu par le médecin du travail est éclairé par des conclusions écrites, assorties d'indications relatives au reclassement du travailleur.</w:t>
      </w:r>
    </w:p>
    <w:p w14:paraId="608D08EF" w14:textId="77777777" w:rsidR="00D97241" w:rsidRPr="008C0CDF" w:rsidRDefault="00D97241" w:rsidP="00D97241">
      <w:pPr>
        <w:jc w:val="both"/>
        <w:outlineLvl w:val="2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14DDAEAD" w14:textId="5DD8C867" w:rsidR="00D97241" w:rsidRPr="008C0CDF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L'obligation de reclassement</w:t>
      </w:r>
    </w:p>
    <w:p w14:paraId="19F370B9" w14:textId="77777777" w:rsidR="00D97241" w:rsidRPr="00D97241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1782D760" w14:textId="77777777" w:rsidR="00D97241" w:rsidRPr="008C0CDF" w:rsidRDefault="00D97241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L’inaptitude déclarée par le médecin du travail entraîne une conséquence essentielle pour l’employeur : une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obligation de reclassement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à sa charge.</w:t>
      </w:r>
    </w:p>
    <w:p w14:paraId="18E4B6B2" w14:textId="77777777" w:rsidR="00D97241" w:rsidRPr="00D97241" w:rsidRDefault="00D97241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6"/>
          <w:szCs w:val="6"/>
          <w:lang w:eastAsia="fr-FR"/>
          <w14:ligatures w14:val="none"/>
        </w:rPr>
      </w:pPr>
    </w:p>
    <w:p w14:paraId="118D3E04" w14:textId="7D236EEA" w:rsidR="00D97241" w:rsidRPr="00D97241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Or,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hyperlink r:id="rId6" w:history="1">
        <w:r w:rsidRPr="00D97241">
          <w:rPr>
            <w:rStyle w:val="Lienhypertexte"/>
            <w:rFonts w:ascii="Axiforma Book" w:eastAsia="Times New Roman" w:hAnsi="Axiforma Book" w:cs="Times New Roman"/>
            <w:b/>
            <w:bCs/>
            <w:color w:val="002060"/>
            <w:kern w:val="0"/>
            <w:sz w:val="23"/>
            <w:szCs w:val="23"/>
            <w:lang w:eastAsia="fr-FR"/>
            <w14:ligatures w14:val="none"/>
          </w:rPr>
          <w:t>l'article L. 1226-2 du Code du travail</w:t>
        </w:r>
        <w:r w:rsidRPr="00D97241">
          <w:rPr>
            <w:rStyle w:val="Lienhypertexte"/>
            <w:rFonts w:ascii="Cambria" w:eastAsia="Times New Roman" w:hAnsi="Cambria" w:cs="Cambria"/>
            <w:b/>
            <w:bCs/>
            <w:color w:val="002060"/>
            <w:kern w:val="0"/>
            <w:sz w:val="23"/>
            <w:szCs w:val="23"/>
            <w:lang w:eastAsia="fr-FR"/>
            <w14:ligatures w14:val="none"/>
          </w:rPr>
          <w:t> 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dispose que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i/>
          <w:iCs/>
          <w:color w:val="002060"/>
          <w:kern w:val="0"/>
          <w:sz w:val="23"/>
          <w:szCs w:val="23"/>
          <w:lang w:eastAsia="fr-FR"/>
          <w14:ligatures w14:val="none"/>
        </w:rPr>
        <w:t>« lorsque, à l’issue des périodes de suspension du contrat de travail consécutives à une maladie ou un accident non professionnel, le salarié est déclaré inapte par le médecin du travail à reprendre l’emploi qu’il occupait précédemment, l’employeur lui propose un autre emploi approprié à ses capacités ».</w:t>
      </w:r>
      <w:r w:rsidRPr="00D97241">
        <w:rPr>
          <w:rFonts w:ascii="Cambria" w:eastAsia="Times New Roman" w:hAnsi="Cambria" w:cs="Cambria"/>
          <w:i/>
          <w:iCs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L'obligation de reclassement est une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obligation de moyens</w:t>
      </w:r>
      <w:r w:rsidRPr="00D97241">
        <w:rPr>
          <w:rFonts w:ascii="Cambria" w:eastAsia="Times New Roman" w:hAnsi="Cambria" w:cs="Cambria"/>
          <w:b/>
          <w:bCs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et non de résultat.</w:t>
      </w:r>
    </w:p>
    <w:p w14:paraId="0796B6A8" w14:textId="77777777" w:rsidR="00D97241" w:rsidRPr="008C0CDF" w:rsidRDefault="00D97241" w:rsidP="00D97241">
      <w:pPr>
        <w:jc w:val="both"/>
        <w:outlineLvl w:val="2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7290E582" w14:textId="2F69C426" w:rsidR="00D97241" w:rsidRPr="008C0CDF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L'impossibilité de reclassement</w:t>
      </w:r>
    </w:p>
    <w:p w14:paraId="524EB401" w14:textId="77777777" w:rsidR="008C0CDF" w:rsidRPr="00D97241" w:rsidRDefault="008C0CDF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3BC1A60F" w14:textId="77B3DA6D" w:rsidR="00D97241" w:rsidRPr="008C0CDF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Aux termes des articles </w:t>
      </w:r>
      <w:hyperlink r:id="rId7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 1226-2-1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et </w:t>
      </w:r>
      <w:hyperlink r:id="rId8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 1226-12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du Code du travail, l’employeur peut rompre le contrat de travail du salarié s'il justifie :</w:t>
      </w:r>
    </w:p>
    <w:p w14:paraId="667F4DE7" w14:textId="77777777" w:rsidR="008C0CDF" w:rsidRPr="00D97241" w:rsidRDefault="008C0CDF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0F0C74A1" w14:textId="140F1FE9" w:rsidR="00D97241" w:rsidRPr="008C0CDF" w:rsidRDefault="008C0CDF" w:rsidP="00D97241">
      <w:pPr>
        <w:numPr>
          <w:ilvl w:val="0"/>
          <w:numId w:val="1"/>
        </w:numPr>
        <w:ind w:left="709" w:hanging="142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Soit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de son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impossibilité de proposer un emploi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dans les conditions prévues à l’article </w:t>
      </w:r>
      <w:hyperlink r:id="rId9" w:history="1">
        <w:r w:rsidR="00D97241"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 1226-2</w:t>
        </w:r>
      </w:hyperlink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ou </w:t>
      </w:r>
      <w:hyperlink r:id="rId10" w:history="1">
        <w:r w:rsidR="00D97241"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L.1226-12</w:t>
        </w:r>
      </w:hyperlink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,</w:t>
      </w:r>
    </w:p>
    <w:p w14:paraId="40B108D9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6BE2FC88" w14:textId="2D0A7B30" w:rsidR="00D97241" w:rsidRPr="008C0CDF" w:rsidRDefault="008C0CDF" w:rsidP="00D97241">
      <w:pPr>
        <w:numPr>
          <w:ilvl w:val="0"/>
          <w:numId w:val="1"/>
        </w:numPr>
        <w:ind w:left="709" w:hanging="142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Soit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du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refus par le salarié de l’emploi proposé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dans ces conditions,</w:t>
      </w:r>
    </w:p>
    <w:p w14:paraId="2F14CFF8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7DFEE883" w14:textId="4A8981C6" w:rsidR="00D97241" w:rsidRPr="008C0CDF" w:rsidRDefault="008C0CDF" w:rsidP="00D97241">
      <w:pPr>
        <w:numPr>
          <w:ilvl w:val="0"/>
          <w:numId w:val="1"/>
        </w:numPr>
        <w:ind w:left="709" w:hanging="142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Soit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de la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mention expresse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dans l’avis du médecin du travail que tout maintien du salarié dans un emploi serait gravement préjudiciable à sa santé,</w:t>
      </w:r>
    </w:p>
    <w:p w14:paraId="20BE904B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372AD437" w14:textId="1AFE0C9F" w:rsidR="00D97241" w:rsidRPr="00D97241" w:rsidRDefault="008C0CDF" w:rsidP="00D97241">
      <w:pPr>
        <w:numPr>
          <w:ilvl w:val="0"/>
          <w:numId w:val="1"/>
        </w:numPr>
        <w:ind w:left="709" w:hanging="142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lastRenderedPageBreak/>
        <w:t>Soit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de la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mention expresse</w:t>
      </w:r>
      <w:r w:rsidR="00D97241"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="00D97241"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dans l’avis du médecin du travail que l’état de santé du salarié fait obstacle à tout reclassement dans un emploi.</w:t>
      </w:r>
    </w:p>
    <w:p w14:paraId="07353D21" w14:textId="77777777" w:rsidR="00D97241" w:rsidRPr="008C0CDF" w:rsidRDefault="00D97241" w:rsidP="00D97241">
      <w:pPr>
        <w:jc w:val="both"/>
        <w:outlineLvl w:val="1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011C07BE" w14:textId="4E5753C3" w:rsidR="00D97241" w:rsidRPr="008C0CDF" w:rsidRDefault="00D97241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Qu'en est-il du paiement du salaire et des indemnités ?</w:t>
      </w:r>
    </w:p>
    <w:p w14:paraId="19A116D9" w14:textId="77777777" w:rsidR="008C0CDF" w:rsidRPr="00D97241" w:rsidRDefault="008C0CDF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2B61BB9F" w14:textId="77777777" w:rsidR="00D97241" w:rsidRPr="00D97241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Il convient de différencier le salarié victime d'un accident du travail ou d'une maladie professionnelle du salarié victime d'une inaptitude d'origine non professionnelle.</w:t>
      </w:r>
    </w:p>
    <w:p w14:paraId="681955CC" w14:textId="77777777" w:rsidR="00D97241" w:rsidRPr="008C0CDF" w:rsidRDefault="00D97241" w:rsidP="00D97241">
      <w:pPr>
        <w:jc w:val="both"/>
        <w:rPr>
          <w:rFonts w:ascii="Axiforma Book" w:hAnsi="Axiforma Book"/>
          <w:color w:val="000000" w:themeColor="text1"/>
          <w:sz w:val="16"/>
          <w:szCs w:val="16"/>
        </w:rPr>
      </w:pPr>
    </w:p>
    <w:p w14:paraId="786D6FF1" w14:textId="77777777" w:rsidR="00D97241" w:rsidRPr="008C0CDF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L'inaptitude d'origine non professionnelle</w:t>
      </w:r>
    </w:p>
    <w:p w14:paraId="2BBB9643" w14:textId="77777777" w:rsidR="008C0CDF" w:rsidRPr="00D97241" w:rsidRDefault="008C0CDF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196C5854" w14:textId="4BEB563D" w:rsidR="00D97241" w:rsidRPr="008C0CDF" w:rsidRDefault="00D97241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En application de l'article </w:t>
      </w:r>
      <w:hyperlink r:id="rId11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L1226-4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du Code du travail, l'avis d'inaptitude entraîne la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suspension du paiement du salaire pendant une durée d'un mois.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Toutefois, à l'issue de ce délai, si le salarié n'est pas reclassé ou licencié, l'employeur est tenu de recommencer à lui verser son salaire.</w:t>
      </w:r>
    </w:p>
    <w:p w14:paraId="166B8E93" w14:textId="77777777" w:rsidR="008C0CDF" w:rsidRPr="00D97241" w:rsidRDefault="008C0CDF" w:rsidP="00D97241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6"/>
          <w:szCs w:val="6"/>
          <w:lang w:eastAsia="fr-FR"/>
          <w14:ligatures w14:val="none"/>
        </w:rPr>
      </w:pPr>
    </w:p>
    <w:p w14:paraId="6C855805" w14:textId="778A88AA" w:rsidR="00D97241" w:rsidRPr="00D97241" w:rsidRDefault="00D97241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Et si le salarié </w:t>
      </w: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a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trouvé un nouvel emploi ? La reprise du versement du salaire se poursuit soit jusqu’à la date de son licenciement, soit jusqu’à la reprise d’un nouvel emploi à temps plein (</w:t>
      </w:r>
      <w:hyperlink r:id="rId12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 xml:space="preserve">Cass. </w:t>
        </w:r>
        <w:proofErr w:type="gramStart"/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soc</w:t>
        </w:r>
        <w:proofErr w:type="gramEnd"/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., 4 mars 2020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).</w:t>
      </w:r>
    </w:p>
    <w:p w14:paraId="2149EA4F" w14:textId="77777777" w:rsidR="00D97241" w:rsidRPr="008C0CDF" w:rsidRDefault="00D97241" w:rsidP="00D97241">
      <w:pPr>
        <w:jc w:val="both"/>
        <w:outlineLvl w:val="2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528E98EC" w14:textId="26763E8A" w:rsidR="00D97241" w:rsidRPr="008C0CDF" w:rsidRDefault="00D97241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L'inaptitude d'origine professionnelle</w:t>
      </w:r>
    </w:p>
    <w:p w14:paraId="3398C3CB" w14:textId="77777777" w:rsidR="008C0CDF" w:rsidRPr="00D97241" w:rsidRDefault="008C0CDF" w:rsidP="00D97241">
      <w:pPr>
        <w:jc w:val="both"/>
        <w:outlineLvl w:val="2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438D7F29" w14:textId="1B776CDE" w:rsidR="00D97241" w:rsidRPr="00D97241" w:rsidRDefault="00D97241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Quelles sont les indemnités dont peut bénéficier le salarié ? Le </w:t>
      </w: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licenciement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pour inaptitude </w:t>
      </w:r>
      <w:r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d’origine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professionnelle ouvre droit, pour le salarié, à une indemnité compensatrice d’un montant égal à celui de l’indemnité compensatrice de préavis prévue à l’article </w:t>
      </w:r>
      <w:hyperlink r:id="rId13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 1234-5</w:t>
        </w:r>
        <w:r w:rsidRPr="00D97241">
          <w:rPr>
            <w:rStyle w:val="Lienhypertexte"/>
            <w:rFonts w:ascii="Cambria" w:eastAsia="Times New Roman" w:hAnsi="Cambria" w:cs="Cambria"/>
            <w:color w:val="002060"/>
            <w:kern w:val="0"/>
            <w:sz w:val="23"/>
            <w:szCs w:val="23"/>
            <w:lang w:eastAsia="fr-FR"/>
            <w14:ligatures w14:val="none"/>
          </w:rPr>
          <w:t> 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ainsi qu’à une</w:t>
      </w:r>
      <w:r w:rsidRPr="00D97241">
        <w:rPr>
          <w:rFonts w:ascii="Cambria" w:eastAsia="Times New Roman" w:hAnsi="Cambria" w:cs="Cambria"/>
          <w:b/>
          <w:bCs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indemnité spéciale de licenciement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qui, sauf dispositions conventionnelles plus favorables, est égale au double de l’indemnité prévue par l’article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hyperlink r:id="rId14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L. 1234-9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.</w:t>
      </w:r>
    </w:p>
    <w:p w14:paraId="2CE5D373" w14:textId="77777777" w:rsidR="00D97241" w:rsidRPr="008C0CDF" w:rsidRDefault="00D97241" w:rsidP="00D97241">
      <w:pPr>
        <w:jc w:val="both"/>
        <w:outlineLvl w:val="1"/>
        <w:rPr>
          <w:rFonts w:ascii="Axiforma Book" w:eastAsia="Times New Roman" w:hAnsi="Axiforma Book" w:cs="Arial"/>
          <w:b/>
          <w:bCs/>
          <w:color w:val="000000" w:themeColor="text1"/>
          <w:kern w:val="0"/>
          <w:sz w:val="16"/>
          <w:szCs w:val="16"/>
          <w:lang w:eastAsia="fr-FR"/>
          <w14:ligatures w14:val="none"/>
        </w:rPr>
      </w:pPr>
    </w:p>
    <w:p w14:paraId="2654112D" w14:textId="3CF5630E" w:rsidR="00D97241" w:rsidRPr="008C0CDF" w:rsidRDefault="00D97241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</w:pPr>
      <w:r w:rsidRPr="00D97241">
        <w:rPr>
          <w:rFonts w:ascii="Zeitung Micro Pro Extrabold" w:eastAsia="Times New Roman" w:hAnsi="Zeitung Micro Pro Extrabold" w:cs="Arial"/>
          <w:b/>
          <w:bCs/>
          <w:color w:val="7030A0"/>
          <w:kern w:val="0"/>
          <w:sz w:val="32"/>
          <w:szCs w:val="32"/>
          <w:lang w:eastAsia="fr-FR"/>
          <w14:ligatures w14:val="none"/>
        </w:rPr>
        <w:t>Les pièges à éviter dans le cadre de l'inaptitude du salarié</w:t>
      </w:r>
    </w:p>
    <w:p w14:paraId="2D498071" w14:textId="77777777" w:rsidR="008C0CDF" w:rsidRPr="00D97241" w:rsidRDefault="008C0CDF" w:rsidP="00D97241">
      <w:pPr>
        <w:jc w:val="both"/>
        <w:outlineLvl w:val="1"/>
        <w:rPr>
          <w:rFonts w:ascii="Zeitung Micro Pro Extrabold" w:eastAsia="Times New Roman" w:hAnsi="Zeitung Micro Pro Extrabold" w:cs="Arial"/>
          <w:b/>
          <w:bCs/>
          <w:color w:val="000000" w:themeColor="text1"/>
          <w:kern w:val="0"/>
          <w:sz w:val="6"/>
          <w:szCs w:val="6"/>
          <w:lang w:eastAsia="fr-FR"/>
          <w14:ligatures w14:val="none"/>
        </w:rPr>
      </w:pPr>
    </w:p>
    <w:p w14:paraId="0223B78E" w14:textId="77777777" w:rsidR="00D97241" w:rsidRPr="008C0CDF" w:rsidRDefault="00D97241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Dès lors que l’inaptitude du salarié répond à une procédure complexe, elle engendre de nombreux pièges pour le salarié ainsi que pour l’employeur :</w:t>
      </w:r>
    </w:p>
    <w:p w14:paraId="321CED8E" w14:textId="77777777" w:rsidR="008C0CDF" w:rsidRPr="00D97241" w:rsidRDefault="008C0CDF" w:rsidP="00D97241">
      <w:pPr>
        <w:jc w:val="both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2F456BA6" w14:textId="77777777" w:rsidR="00D97241" w:rsidRPr="008C0CDF" w:rsidRDefault="00D97241" w:rsidP="00D97241">
      <w:pPr>
        <w:numPr>
          <w:ilvl w:val="0"/>
          <w:numId w:val="2"/>
        </w:numPr>
        <w:ind w:left="567" w:firstLine="0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L’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irrespect de son obligation de reclassement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par l’employeur permet au salarié de demander l’annulation de son licenciement ou le paiement de dommages-intérêts (ne pouvant être inférieurs à 6 mois de salaire) ;</w:t>
      </w:r>
    </w:p>
    <w:p w14:paraId="0B43D9DD" w14:textId="77777777" w:rsidR="008C0CDF" w:rsidRPr="00D97241" w:rsidRDefault="008C0CDF" w:rsidP="008C0CDF">
      <w:pPr>
        <w:ind w:left="567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153F8777" w14:textId="5EA7A8F6" w:rsidR="00D97241" w:rsidRPr="008C0CDF" w:rsidRDefault="00D97241" w:rsidP="00D97241">
      <w:pPr>
        <w:numPr>
          <w:ilvl w:val="0"/>
          <w:numId w:val="2"/>
        </w:numPr>
        <w:ind w:left="567" w:firstLine="0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La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visite médicale de reprise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doit être réalisée dans les 8 jours calendaire suivant le retour du salarié au travail (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u w:val="single"/>
          <w:lang w:eastAsia="fr-FR"/>
          <w14:ligatures w14:val="none"/>
        </w:rPr>
        <w:t>Attention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: Le retard ouvre droit à des dommages et intérêts pour le salarié (</w:t>
      </w:r>
      <w:hyperlink r:id="rId15" w:history="1"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 xml:space="preserve">Cass. </w:t>
        </w:r>
        <w:proofErr w:type="gramStart"/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soc</w:t>
        </w:r>
        <w:proofErr w:type="gramEnd"/>
        <w:r w:rsidRPr="00D97241">
          <w:rPr>
            <w:rStyle w:val="Lienhypertexte"/>
            <w:rFonts w:ascii="Axiforma Book" w:eastAsia="Times New Roman" w:hAnsi="Axiforma Book" w:cs="Times New Roman"/>
            <w:color w:val="002060"/>
            <w:kern w:val="0"/>
            <w:sz w:val="23"/>
            <w:szCs w:val="23"/>
            <w:lang w:eastAsia="fr-FR"/>
            <w14:ligatures w14:val="none"/>
          </w:rPr>
          <w:t>., 15.04.2015,n°13-21533</w:t>
        </w:r>
      </w:hyperlink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)) ;</w:t>
      </w:r>
    </w:p>
    <w:p w14:paraId="79753FBF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413CA7A3" w14:textId="77777777" w:rsidR="00D97241" w:rsidRPr="008C0CDF" w:rsidRDefault="00D97241" w:rsidP="00D97241">
      <w:pPr>
        <w:numPr>
          <w:ilvl w:val="0"/>
          <w:numId w:val="2"/>
        </w:numPr>
        <w:ind w:left="567" w:firstLine="0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A la suite de l’avis d’inaptitude par le médecin du travail, le salarié ne perçoit</w:t>
      </w:r>
      <w:r w:rsidRPr="00D97241">
        <w:rPr>
          <w:rFonts w:ascii="Cambria" w:eastAsia="Times New Roman" w:hAnsi="Cambria" w:cs="Cambria"/>
          <w:b/>
          <w:bCs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plus de salaire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de son employeur pendant une durée d’un mois ;</w:t>
      </w:r>
    </w:p>
    <w:p w14:paraId="0F04760C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4EF7F606" w14:textId="77777777" w:rsidR="00D97241" w:rsidRPr="008C0CDF" w:rsidRDefault="00D97241" w:rsidP="00D97241">
      <w:pPr>
        <w:numPr>
          <w:ilvl w:val="0"/>
          <w:numId w:val="2"/>
        </w:numPr>
        <w:ind w:left="567" w:firstLine="0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Suivant la visite de reprise,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si le salarié n’a été ni reclassé, ni licencié, l’employeur devra recommencer à lui verser l’intégralité de son salaire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;</w:t>
      </w:r>
    </w:p>
    <w:p w14:paraId="1D28A133" w14:textId="77777777" w:rsidR="008C0CDF" w:rsidRPr="00D97241" w:rsidRDefault="008C0CDF" w:rsidP="008C0CDF">
      <w:pPr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4"/>
          <w:szCs w:val="4"/>
          <w:lang w:eastAsia="fr-FR"/>
          <w14:ligatures w14:val="none"/>
        </w:rPr>
      </w:pPr>
    </w:p>
    <w:p w14:paraId="19A62DE8" w14:textId="77777777" w:rsidR="00D97241" w:rsidRPr="00D97241" w:rsidRDefault="00D97241" w:rsidP="00D97241">
      <w:pPr>
        <w:numPr>
          <w:ilvl w:val="0"/>
          <w:numId w:val="2"/>
        </w:numPr>
        <w:ind w:left="567" w:firstLine="0"/>
        <w:jc w:val="both"/>
        <w:textAlignment w:val="baseline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Attention à la procédure de licenciement du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b/>
          <w:bCs/>
          <w:color w:val="002060"/>
          <w:kern w:val="0"/>
          <w:sz w:val="23"/>
          <w:szCs w:val="23"/>
          <w:lang w:eastAsia="fr-FR"/>
          <w14:ligatures w14:val="none"/>
        </w:rPr>
        <w:t>salarié protégé qui nécessite l’avis du CSE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et l’autorisation de l’inspection du travail.</w:t>
      </w:r>
    </w:p>
    <w:p w14:paraId="173BDC13" w14:textId="09A17BB6" w:rsidR="00D97241" w:rsidRPr="00D97241" w:rsidRDefault="00D97241" w:rsidP="00D97241">
      <w:pPr>
        <w:ind w:left="567"/>
        <w:jc w:val="both"/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</w:pP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Si vous faites face à une procédure de licenciement pour inaptitude, que vous soyez employeur, ou salarié, nous vous conseillons vivement de prendre attache avec</w:t>
      </w:r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hyperlink r:id="rId16" w:history="1">
        <w:r w:rsidRPr="00D97241">
          <w:rPr>
            <w:rFonts w:ascii="Axiforma Book" w:eastAsia="Times New Roman" w:hAnsi="Axiforma Book" w:cs="Times New Roman"/>
            <w:color w:val="002060"/>
            <w:kern w:val="0"/>
            <w:sz w:val="23"/>
            <w:szCs w:val="23"/>
            <w:u w:val="single"/>
            <w:lang w:eastAsia="fr-FR"/>
            <w14:ligatures w14:val="none"/>
          </w:rPr>
          <w:t>un avocat spécialisé en droit du travail</w:t>
        </w:r>
      </w:hyperlink>
      <w:r w:rsidRPr="00D97241">
        <w:rPr>
          <w:rFonts w:ascii="Cambria" w:eastAsia="Times New Roman" w:hAnsi="Cambria" w:cs="Cambria"/>
          <w:color w:val="002060"/>
          <w:kern w:val="0"/>
          <w:sz w:val="23"/>
          <w:szCs w:val="23"/>
          <w:lang w:eastAsia="fr-FR"/>
          <w14:ligatures w14:val="none"/>
        </w:rPr>
        <w:t> 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afin de ne manquer aucun de vos droits et obligations. En effet, une petite erreur dans cette procédure complexe et </w:t>
      </w:r>
      <w:r w:rsidR="008C0CDF" w:rsidRPr="008C0CDF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>piégeuse</w:t>
      </w:r>
      <w:r w:rsidRPr="00D97241">
        <w:rPr>
          <w:rFonts w:ascii="Axiforma Book" w:eastAsia="Times New Roman" w:hAnsi="Axiforma Book" w:cs="Times New Roman"/>
          <w:color w:val="002060"/>
          <w:kern w:val="0"/>
          <w:sz w:val="23"/>
          <w:szCs w:val="23"/>
          <w:lang w:eastAsia="fr-FR"/>
          <w14:ligatures w14:val="none"/>
        </w:rPr>
        <w:t xml:space="preserve"> pourrait vous coûter particulièrement cher.</w:t>
      </w:r>
    </w:p>
    <w:p w14:paraId="73D5E549" w14:textId="77777777" w:rsidR="008C0CDF" w:rsidRPr="008C0CDF" w:rsidRDefault="008C0CDF" w:rsidP="00D97241">
      <w:pPr>
        <w:jc w:val="both"/>
        <w:rPr>
          <w:rFonts w:ascii="Axiforma Book" w:hAnsi="Axiforma Book"/>
          <w:color w:val="000000" w:themeColor="text1"/>
        </w:rPr>
      </w:pPr>
    </w:p>
    <w:p w14:paraId="366B9FC0" w14:textId="1F95154C" w:rsidR="008C0CDF" w:rsidRPr="008C0CDF" w:rsidRDefault="008C0CDF" w:rsidP="008C0CDF">
      <w:pPr>
        <w:jc w:val="center"/>
        <w:rPr>
          <w:rFonts w:ascii="Axiforma Book" w:hAnsi="Axiforma Book"/>
          <w:i/>
          <w:iCs/>
          <w:color w:val="000000" w:themeColor="text1"/>
          <w:sz w:val="20"/>
          <w:szCs w:val="20"/>
        </w:rPr>
      </w:pPr>
      <w:r w:rsidRPr="008C0CDF">
        <w:rPr>
          <w:rFonts w:ascii="Axiforma Book" w:hAnsi="Axiforma Book"/>
          <w:i/>
          <w:iCs/>
          <w:color w:val="000000" w:themeColor="text1"/>
          <w:sz w:val="20"/>
          <w:szCs w:val="20"/>
        </w:rPr>
        <w:t>Source</w:t>
      </w:r>
      <w:r>
        <w:rPr>
          <w:rFonts w:ascii="Cambria" w:hAnsi="Cambria" w:cs="Cambria"/>
          <w:i/>
          <w:iCs/>
          <w:color w:val="000000" w:themeColor="text1"/>
          <w:sz w:val="20"/>
          <w:szCs w:val="20"/>
        </w:rPr>
        <w:t> </w:t>
      </w:r>
      <w:r>
        <w:rPr>
          <w:rFonts w:ascii="Axiforma Book" w:hAnsi="Axiforma Book"/>
          <w:i/>
          <w:iCs/>
          <w:color w:val="000000" w:themeColor="text1"/>
          <w:sz w:val="20"/>
          <w:szCs w:val="20"/>
        </w:rPr>
        <w:t>:</w:t>
      </w:r>
      <w:r w:rsidRPr="008C0CDF">
        <w:rPr>
          <w:rFonts w:ascii="Axiforma Book" w:hAnsi="Axiforma Book"/>
          <w:i/>
          <w:iCs/>
          <w:color w:val="000000" w:themeColor="text1"/>
          <w:sz w:val="20"/>
          <w:szCs w:val="20"/>
        </w:rPr>
        <w:t xml:space="preserve"> </w:t>
      </w:r>
      <w:hyperlink r:id="rId17" w:history="1">
        <w:r w:rsidRPr="008C0CDF">
          <w:rPr>
            <w:rStyle w:val="Lienhypertexte"/>
            <w:rFonts w:ascii="Axiforma Book" w:hAnsi="Axiforma Book"/>
            <w:i/>
            <w:iCs/>
            <w:color w:val="000000" w:themeColor="text1"/>
            <w:sz w:val="20"/>
            <w:szCs w:val="20"/>
          </w:rPr>
          <w:t>https://www.placedudroit.com/gazette-droit/piege-licenciement-inaptitude/</w:t>
        </w:r>
      </w:hyperlink>
    </w:p>
    <w:sectPr w:rsidR="008C0CDF" w:rsidRPr="008C0CDF" w:rsidSect="008C0CDF">
      <w:pgSz w:w="11900" w:h="16840"/>
      <w:pgMar w:top="605" w:right="844" w:bottom="6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Zeitung Micro Pro Extrabold">
    <w:panose1 w:val="020B0903040000080004"/>
    <w:charset w:val="00"/>
    <w:family w:val="swiss"/>
    <w:notTrueType/>
    <w:pitch w:val="variable"/>
    <w:sig w:usb0="800000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xiforma Book">
    <w:panose1 w:val="00000400000000000000"/>
    <w:charset w:val="4D"/>
    <w:family w:val="auto"/>
    <w:notTrueType/>
    <w:pitch w:val="variable"/>
    <w:sig w:usb0="A000002F" w:usb1="0000201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6A3"/>
    <w:multiLevelType w:val="multilevel"/>
    <w:tmpl w:val="178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13624"/>
    <w:multiLevelType w:val="multilevel"/>
    <w:tmpl w:val="8AB4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289403">
    <w:abstractNumId w:val="0"/>
  </w:num>
  <w:num w:numId="2" w16cid:durableId="89327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41"/>
    <w:rsid w:val="0002688A"/>
    <w:rsid w:val="00037B35"/>
    <w:rsid w:val="002412BF"/>
    <w:rsid w:val="003635D5"/>
    <w:rsid w:val="00813651"/>
    <w:rsid w:val="008335D2"/>
    <w:rsid w:val="008C0CDF"/>
    <w:rsid w:val="00D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C82E6"/>
  <w15:chartTrackingRefBased/>
  <w15:docId w15:val="{37C262AF-B637-8C45-BCA5-0786C80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7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7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97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97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2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72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2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72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72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72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7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2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7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72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72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72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2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724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D97241"/>
  </w:style>
  <w:style w:type="character" w:styleId="lev">
    <w:name w:val="Strong"/>
    <w:basedOn w:val="Policepardfaut"/>
    <w:uiPriority w:val="22"/>
    <w:qFormat/>
    <w:rsid w:val="00D97241"/>
    <w:rPr>
      <w:b/>
      <w:bCs/>
    </w:rPr>
  </w:style>
  <w:style w:type="paragraph" w:customStyle="1" w:styleId="elementor-blockquotecontent">
    <w:name w:val="elementor-blockquote__content"/>
    <w:basedOn w:val="Normal"/>
    <w:rsid w:val="00D972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72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9724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5576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63852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8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2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1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5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490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93547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2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054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38923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5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6351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45024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63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09934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7585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36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33024893" TargetMode="External"/><Relationship Id="rId13" Type="http://schemas.openxmlformats.org/officeDocument/2006/relationships/hyperlink" Target="https://www.legifrance.gouv.fr/codes/article_lc/LEGIARTI0000069011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article_lc/LEGIARTI000033013454" TargetMode="External"/><Relationship Id="rId12" Type="http://schemas.openxmlformats.org/officeDocument/2006/relationships/hyperlink" Target="https://www.legifrance.gouv.fr/juri/id/JURITEXT000042025162?isSuggest=true" TargetMode="External"/><Relationship Id="rId17" Type="http://schemas.openxmlformats.org/officeDocument/2006/relationships/hyperlink" Target="https://www.placedudroit.com/gazette-droit/piege-licenciement-inaptitu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cedudroit.com/avocat/droit-du-travai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codes/article_lc/LEGIARTI000035653236" TargetMode="External"/><Relationship Id="rId11" Type="http://schemas.openxmlformats.org/officeDocument/2006/relationships/hyperlink" Target="https://www.legifrance.gouv.fr/codes/article_lc/LEGIARTI000025560071" TargetMode="External"/><Relationship Id="rId5" Type="http://schemas.openxmlformats.org/officeDocument/2006/relationships/hyperlink" Target="https://www.legifrance.gouv.fr/codes/article_lc/LEGIARTI000031086875/2016-01-28" TargetMode="External"/><Relationship Id="rId15" Type="http://schemas.openxmlformats.org/officeDocument/2006/relationships/hyperlink" Target="https://www.legifrance.gouv.fr/juri/id/JURITEXT000030501615" TargetMode="External"/><Relationship Id="rId10" Type="http://schemas.openxmlformats.org/officeDocument/2006/relationships/hyperlink" Target="https://www.legifrance.gouv.fr/codes/article_lc/LEGIARTI0000330248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article_lc/LEGIARTI000035653236" TargetMode="External"/><Relationship Id="rId14" Type="http://schemas.openxmlformats.org/officeDocument/2006/relationships/hyperlink" Target="https://www.legifrance.gouv.fr/codes/article_lc/LEGIARTI0000356441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BARDAD</dc:creator>
  <cp:keywords/>
  <dc:description/>
  <cp:lastModifiedBy>Farid BARDAD</cp:lastModifiedBy>
  <cp:revision>1</cp:revision>
  <dcterms:created xsi:type="dcterms:W3CDTF">2024-07-09T16:56:00Z</dcterms:created>
  <dcterms:modified xsi:type="dcterms:W3CDTF">2024-07-09T17:14:00Z</dcterms:modified>
</cp:coreProperties>
</file>